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2019 78 vom 27. Oktober 2020</w:t>
      </w:r>
    </w:p>
    <w:p>
      <w:r>
        <w:t>GR Gerichte, 2020-10-27, DE</w:t>
      </w:r>
    </w:p>
    <w:p>
      <w:r>
        <w:rPr>
          <w:b/>
        </w:rPr>
        <w:t xml:space="preserve">Quelle: </w:t>
      </w:r>
      <w:r>
        <w:t>https://mcp.opencaselaw.ch/entscheid/gr_gerichte_S 2019 78</w:t>
      </w:r>
    </w:p>
    <w:p>
      <w:r>
        <w:t>FR: GR_GERICHTE S 2019 78 du 27 octobre 2020</w:t>
      </w:r>
    </w:p>
    <w:p>
      <w:r>
        <w:t>IT: GR_GERICHTE S 2019 78 del 27 ottobre 2020</w:t>
      </w:r>
    </w:p>
    <w:p>
      <w:pPr>
        <w:pStyle w:val="Heading2"/>
      </w:pPr>
      <w:r>
        <w:t>Regeste</w:t>
      </w:r>
    </w:p>
    <w:p>
      <w:r>
        <w:t>Versicherungsleistungen nach UVG | Unfallversicherung</w:t>
      </w:r>
    </w:p>
    <w:p>
      <w:pPr>
        <w:pStyle w:val="Heading2"/>
      </w:pPr>
      <w:r>
        <w:t>Erwägungen</w:t>
      </w:r>
    </w:p>
    <w:p>
      <w:r>
        <w:rPr>
          <w:b/>
        </w:rPr>
        <w:t>E. 8</w:t>
      </w:r>
    </w:p>
    <w:p>
      <w:r>
        <w:t>Zusammenfassend ist somit festzuhalten, dass der Fallabschluss verfrüht erfolgt ist, weshalb in Gutheissung der Beschwerde im Sinne des Hauptan- trags der Einspracheentscheid vom 27. Mai 2019 (Bg-act. 2/159) aufzuhe- ben und die Beschwerdegegnerin anzuweisen ist, dem Beschwerdeführer ab dem 1. Februar 2018 ein angemessenes Taggeld zu erbringen und für die Heilbehandlung aufzukommen. Damit erübrigt sich eine Prüfung des Eventualantrags. 9.1 Gerichtskosten werden vorliegend keine erhoben, da das kantonale Be- schwerdeverfahren in Sozialversicherungsstreitigkeiten gemäss Art. 61 lit. a ATSG grundsätzlich kostenlos ist. 9.2 Gemäss Art. 61 lit. g ATSG hat die obsiegende Beschwerde führende Per- son Anspruch auf Ersatz der Parteikosten. Diese werden vom Versiche- rungsgericht festgesetzt und ohne Rücksicht auf den Streitwert nach der Bedeutung der Streitsache und nach der Schwierigkeit des Prozesses be- messen. Die vom Rechtsvertreter des Beschwerdeführers eingereichte Ho- norarnote vom 21. Oktober 2019 beläuft sich auf Fr. 5‘500.90 (19.2 Stun- den à Fr. 260.-- zuzüglich Spesen von Fr. 115.60 und 7.7 % Mehrwert- steuer von Fr. 393.30). Der geltend gemachte Aufwand erscheint dem Ge- richt – mit Ausnahme der Schlussbearbeitung, welche um eine Stunde zu kürzen ist – als angemessen. Hingegen kann nicht von einem Stundenan- satz von Fr. 260.-- ausgegangen werden, da der Rechtsvertreter keine Ho- norarvereinbarung eingereicht hat. Damit gelangt praxisgemäss für den Rechtsanwalt der übliche Stundenansatz von Fr. 240.-- nach Art. 3 Abs. 1</w:t>
      </w:r>
    </w:p>
    <w:p>
      <w:r>
        <w:t>- 19 - der Verordnung über die Bemessung des Honorars der Rechtsanwältinnen und Rechtsanwälte (HV; BR 310.250) zur Anwendung. Vorliegend ergibt sich bei 18.2 Stunden à Fr. 240.-- ein Honorar von Fr. 4‘368.--. Mit den geltend gemachten Spesen von Fr. 115.60 liegt das Zwischentotal bei Fr. 4‘483.60 und zuzüglich der Mehrwertsteuer von Fr. 345.20 ergibt sich ein Totalbetrag von Fr. 4‘828.80. In diesem Umfang hat die Beschwerdegeg- nerin den Beschwerdeführer aussergerichtlich zu entschädigen.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